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jc w:val="center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1029"/>
        <w:gridCol w:w="1039"/>
        <w:gridCol w:w="1141"/>
        <w:gridCol w:w="1620"/>
        <w:gridCol w:w="1340"/>
        <w:gridCol w:w="2036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36"/>
                <w:szCs w:val="36"/>
              </w:rPr>
              <w:t>注射泵技术参数需求表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3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注射泵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项目编号</w:t>
            </w: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(或预算编号)</w:t>
            </w:r>
          </w:p>
        </w:tc>
        <w:tc>
          <w:tcPr>
            <w:tcW w:w="45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总数量</w:t>
            </w: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（台/套）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预算单价</w:t>
            </w: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预算总金额（万元）</w:t>
            </w:r>
          </w:p>
        </w:tc>
        <w:tc>
          <w:tcPr>
            <w:tcW w:w="3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26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技术和性能参数名称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招标参数和性能要求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*1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基本功能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用于药物的高精度连续微量注射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*2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具有CFDA认证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技术和性能参数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3.1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注射精度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±2%范围内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3.2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速率范围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至少包含（0.1—1800）ml/h，步进0.01ml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3.3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预置输液总量范围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(0.1-9999.99)ml,步进0.01ml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3.4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快进流速范围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包含（0.1-1800）ml/h范围，具有自动和手动快进可选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·3.5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自动统计累计量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至少包含：24h累计量、最近累计量、自定义时间段累计量、定时间隔累计量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·3.6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支持注射器规格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至少包含：1ml、2ml、3ml、5ml、10ml、20ml、30ml、50/60ml；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·3.7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自动固定功能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注射器安装后，推拉盒可自动定位并固定注射器尾夹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·3.8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注射模式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至少包含：速度模式、时间模式、体重模式、梯度模式、序列模式、剂量时间模式、微量模式和间断给药模式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*3.9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屏幕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≥3.5英寸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3.10 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操作界面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全中文软件操作界面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3.11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锁屏功能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支持自动锁屏，自动锁屏时间可调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3.12 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药物库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可储存药物信息≥2000种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·3.13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剂量纠错功能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具备药物剂量纠错功能，可设置不同药物的流速上、下软硬限值，在参数超限时给予提示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3.14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药物颜色标识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支持药物色彩标识，支持10种以上颜色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3.15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报警查看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报警时可通过示意图片直观提示报警信息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3.16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动态压力监测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在线动态压力监测，可实时显示当前压力数值；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3.17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压力报警阈值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≥9档可调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·3.18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阻塞前预警提示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可自动识别压力上升并在屏幕上进行文字提示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·3.19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阻塞后自动重启输液功能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具备阻塞后自动重启输液功能，短暂性阻塞触发报警后，泵检测到阻塞压力缓解时，无需人为干预，泵自动重新启动输液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3.20 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信息储存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储存、回放历史记录≥1000个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3.21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电池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电池工作时间≥8小时@5ml/h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*3.22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阻塞压力最小报警阈值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≤75mmHg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*3.23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重量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≤1.9kg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·3.24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转运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满足EN1789标准，适合在救护车使用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配置需求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每套至少包含主机和相关附件一套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配套医用试剂耗材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5.1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是否为开放性医用试剂耗材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厂家自报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5.2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封闭配套施加耗材品规/价格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厂家自报品规和价格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*8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售后条款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8.1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原厂保修年限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8.2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预防性维修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/定期维护保养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保修期内按维修手册要求提供定期维护保养服务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8.3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维修响应时间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维修到达现场时间≤3个工作日（京外）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8.4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配件报价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D8D8D8"/>
                <w:w w:val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D8D8D8"/>
                <w:w w:val="80"/>
                <w:kern w:val="0"/>
                <w:sz w:val="18"/>
                <w:szCs w:val="18"/>
              </w:rPr>
              <w:t>配件指设备正常使用时的必备零配件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8.5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升级与软件维护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保修期内免费升级和软件维护；保修期外，原软件维护仅收工时费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8.6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维修工时费计算方法及价格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至少提供按小时计费和按故障点计费两种方式，用户可自行选择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8.7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专用工具、资料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及其它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提供设备配套的维修专用工具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（如有）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，资料（操作手册、维修手册等）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8.8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培训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提供使用培训和工程师原厂培训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8.9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交货期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合同签订后1个月内交货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8.10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付款方式</w:t>
            </w:r>
          </w:p>
        </w:tc>
        <w:tc>
          <w:tcPr>
            <w:tcW w:w="6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协议签订并货到验收合格后3个月内，甲方付给乙方货款95%，若无质量问题，质保期结束后，付清剩余5%货款。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</w:rPr>
              <w:t>采购方式</w:t>
            </w:r>
          </w:p>
        </w:tc>
        <w:tc>
          <w:tcPr>
            <w:tcW w:w="9339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竞争性谈判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04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备注：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1.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44BE"/>
    <w:rsid w:val="000931CD"/>
    <w:rsid w:val="003649D2"/>
    <w:rsid w:val="004A39F5"/>
    <w:rsid w:val="005A4649"/>
    <w:rsid w:val="00A844BE"/>
    <w:rsid w:val="5F51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2</Pages>
  <Words>282</Words>
  <Characters>1614</Characters>
  <Lines>13</Lines>
  <Paragraphs>3</Paragraphs>
  <TotalTime>2</TotalTime>
  <ScaleCrop>false</ScaleCrop>
  <LinksUpToDate>false</LinksUpToDate>
  <CharactersWithSpaces>1893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2023-06-08T07:58:00Z</dcterms:created>
  <dc:creator>doctor</dc:creator>
  <cp:lastModifiedBy>Administrator</cp:lastModifiedBy>
  <dcterms:modified xsi:type="dcterms:W3CDTF">2023-06-09T00:58:27Z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